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507" w:rsidRPr="005D2507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853CF5" w:rsidRDefault="002748C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2021, 2022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2748CF" w:rsidTr="005D2507">
        <w:tc>
          <w:tcPr>
            <w:tcW w:w="2376" w:type="dxa"/>
            <w:vAlign w:val="center"/>
          </w:tcPr>
          <w:p w:rsidR="002748CF" w:rsidRPr="005D2507" w:rsidRDefault="002748CF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2748CF" w:rsidRPr="005D2507" w:rsidRDefault="002748CF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История финансов и возникновения денег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Налоговая система Российской Федерации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Финансовые рынки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Оценка стоимости бизнеса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анализ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Краткосрочная финансовая политика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Долгосрочная финансовая политика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Инновационный финансовый менеджмент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Финансовая среда и предпринимательские риски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Основы аудита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Иностранные инвестиции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Инвестиционная стратегия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.В.ДВ.8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.В.ДВ.9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2748CF"/>
    <w:rsid w:val="005D2507"/>
    <w:rsid w:val="007E1E26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2023-02-14T08:54:00Z</dcterms:modified>
</cp:coreProperties>
</file>